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2016 86 vom 20. Februar 2017</w:t>
      </w:r>
    </w:p>
    <w:p>
      <w:r>
        <w:t>GR Gerichte, 2017-02-20, DE</w:t>
      </w:r>
    </w:p>
    <w:p>
      <w:r>
        <w:rPr>
          <w:b/>
        </w:rPr>
        <w:t xml:space="preserve">Quelle: </w:t>
      </w:r>
      <w:r>
        <w:t>https://mcp.opencaselaw.ch/entscheid/gr_gerichte_U 2016 86</w:t>
      </w:r>
    </w:p>
    <w:p>
      <w:r>
        <w:t>FR: GR_GERICHTE U 2016 86 du 20 février 2017</w:t>
      </w:r>
    </w:p>
    <w:p>
      <w:r>
        <w:t>IT: GR_GERICHTE U 2016 86 del 20 febbraio 2017</w:t>
      </w:r>
    </w:p>
    <w:p>
      <w:pPr>
        <w:pStyle w:val="Heading2"/>
      </w:pPr>
      <w:r>
        <w:t>Regeste</w:t>
      </w:r>
    </w:p>
    <w:p>
      <w:r>
        <w:t>Elementar-/Gebäudeschaden | Gebäude- und Elementarschäden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Am 16. September 2016 hielt die GVG an ihrer Ablehnungsverfügung fest und wies die Einsprache von A._____ ab. Vertreter der GVG hätten am</w:t>
      </w:r>
    </w:p>
    <w:p>
      <w:r>
        <w:t>- 3 -</w:t>
      </w:r>
    </w:p>
    <w:p>
      <w:r>
        <w:rPr>
          <w:b/>
        </w:rPr>
        <w:t>E. 6</w:t>
      </w:r>
    </w:p>
    <w:p>
      <w:r>
        <w:t>Am 22. September 2016 stellte A._____ bei der GVG ein Wiedererwä- gungsgesuch und machte geltend, dass zwei Punkte im Einspracheent- scheid der GVG nicht berücksichtigt worden seien. Die Konstruktion müs- se erstens nicht verstärkt werden und zweitens berufe sich die GVG im vorliegenden Fall zu Unrecht auf eine Ausnahme vom Versicherungs- schutz. Die GVG trat am 27. September 2016 auf dieses Wiedererwä- gungsgesuch nicht ein, da es keine Vorbringen enthalte, welche nicht be- reits im Einspracheentscheid diskutiert und berücksichtigt worden seien.</w:t>
      </w:r>
    </w:p>
    <w:p>
      <w:r>
        <w:rPr>
          <w:b/>
        </w:rPr>
        <w:t>E. 7</w:t>
      </w:r>
    </w:p>
    <w:p>
      <w:r>
        <w:t>Am 6. Oktober 2016 erhob A._____ (nachfolgend Beschwerdeführer) gegen den Entscheid der GVG vom 16. September 2016 Beschwerde und beantragte, die GVG müsse die Reparaturkosten übernehmen. Nie- mand wisse, wann der Schaden eingetreten sei.</w:t>
      </w:r>
    </w:p>
    <w:p>
      <w:r>
        <w:rPr>
          <w:b/>
        </w:rPr>
        <w:t>E. 8</w:t>
      </w:r>
    </w:p>
    <w:p>
      <w:r>
        <w:t>Am 21. November 2016 beantragte die GVG (nachfolgend Beschwerde- gegnerin) die Abweisung der Beschwerde, soweit darauf eingetreten wer- den könne. Dabei hielt sie im Wesentlichen an den Ausführungen im Ein- spracheentscheid fest.</w:t>
      </w:r>
    </w:p>
    <w:p>
      <w:r>
        <w:rPr>
          <w:b/>
        </w:rPr>
        <w:t>E. 9</w:t>
      </w:r>
    </w:p>
    <w:p>
      <w:r>
        <w:t>Am 24. November 2016 hielt der Beschwerdeführer an seiner Darstellung fest. Er ergänzte, dass das Projekt so wie ausgeführt – d.h. ohne Schneerückhaltevorrichtungen – von der Gemeinde und dem Kanton be- willigt worden sei. Am 9. Dezember 2016 verzichtete die Beschwerde- gegnerin auf die Einreichung einer Duplik.</w:t>
      </w:r>
    </w:p>
    <w:p>
      <w:r>
        <w:t>- 4 - Auf die weiteren Ausführungen in den Rechtsschriften sowie im angefoch- tenen Entscheid wird, soweit erforderlich, in den nachstehenden Erwä- gungen eingegangen.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